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E3BF" w14:textId="77777777" w:rsidR="001E3DBF" w:rsidRPr="001E3DBF" w:rsidRDefault="001E3DBF" w:rsidP="00BE3C10">
      <w:pPr>
        <w:spacing w:after="120" w:line="240" w:lineRule="atLeast"/>
        <w:ind w:right="426"/>
        <w:rPr>
          <w:b/>
          <w:bCs/>
          <w:i/>
          <w:color w:val="C00000"/>
          <w:sz w:val="36"/>
          <w:szCs w:val="36"/>
          <w:lang w:val="it-IT"/>
        </w:rPr>
      </w:pPr>
      <w:r w:rsidRPr="001E3DBF">
        <w:rPr>
          <w:b/>
          <w:bCs/>
          <w:color w:val="C00000"/>
          <w:sz w:val="36"/>
          <w:szCs w:val="36"/>
          <w:lang w:val="it-IT"/>
        </w:rPr>
        <w:t>Modello sull’informativa della protezione dei dati dei clienti</w:t>
      </w:r>
    </w:p>
    <w:p w14:paraId="63DAEC0C" w14:textId="77777777" w:rsidR="00910BFB" w:rsidRPr="000E6E07" w:rsidRDefault="00910BFB" w:rsidP="009D2C96">
      <w:pPr>
        <w:spacing w:after="120" w:line="240" w:lineRule="atLeast"/>
        <w:ind w:right="426"/>
        <w:jc w:val="both"/>
        <w:rPr>
          <w:i/>
          <w:szCs w:val="16"/>
          <w:lang w:val="de-CH"/>
        </w:rPr>
      </w:pPr>
    </w:p>
    <w:p w14:paraId="7B383D5A" w14:textId="77777777" w:rsidR="001E3DBF" w:rsidRPr="001E3DBF" w:rsidRDefault="001E3DBF" w:rsidP="001E3DBF">
      <w:pPr>
        <w:tabs>
          <w:tab w:val="left" w:pos="1418"/>
        </w:tabs>
        <w:spacing w:before="120" w:after="240" w:line="240" w:lineRule="atLeast"/>
        <w:ind w:right="426"/>
        <w:jc w:val="both"/>
        <w:rPr>
          <w:b/>
          <w:bCs/>
          <w:i/>
          <w:lang w:val="it-IT"/>
        </w:rPr>
      </w:pPr>
      <w:r w:rsidRPr="001E3DBF">
        <w:rPr>
          <w:b/>
          <w:bCs/>
          <w:i/>
          <w:lang w:val="it-IT"/>
        </w:rPr>
        <w:t>Nota introduttiva:</w:t>
      </w:r>
    </w:p>
    <w:p w14:paraId="6ED8A487" w14:textId="77777777" w:rsidR="001E3DBF" w:rsidRPr="001E3DBF" w:rsidRDefault="001E3DBF" w:rsidP="001E3DBF">
      <w:pPr>
        <w:tabs>
          <w:tab w:val="left" w:pos="1418"/>
        </w:tabs>
        <w:spacing w:before="120" w:after="240" w:line="240" w:lineRule="atLeast"/>
        <w:ind w:right="426"/>
        <w:jc w:val="both"/>
        <w:rPr>
          <w:bCs/>
          <w:i/>
          <w:lang w:val="it-IT"/>
        </w:rPr>
      </w:pPr>
      <w:r w:rsidRPr="001E3DBF">
        <w:rPr>
          <w:bCs/>
          <w:i/>
          <w:lang w:val="it-IT"/>
        </w:rPr>
        <w:t>Il modello di dichiarazione sulla protezione dei dati dei clienti riportato di seguito è stato fornito dall’ASIPG, l’Associazione svizzera imprenditori pittori e gessatori. Il modello è indicativo e se necessario, deve essere adattato o completato per soddisfare le esigenze individuali.</w:t>
      </w:r>
    </w:p>
    <w:p w14:paraId="2D9B1EF9" w14:textId="15EE8DA8" w:rsidR="000E6E07" w:rsidRPr="0012533D" w:rsidRDefault="000E6E07" w:rsidP="009D2C96">
      <w:pPr>
        <w:tabs>
          <w:tab w:val="left" w:pos="1418"/>
        </w:tabs>
        <w:spacing w:before="120" w:after="240" w:line="240" w:lineRule="atLeast"/>
        <w:ind w:right="426"/>
        <w:jc w:val="both"/>
        <w:rPr>
          <w:bCs/>
          <w:i/>
          <w:lang w:val="de-CH"/>
        </w:rPr>
      </w:pPr>
      <w:r w:rsidRPr="0012533D">
        <w:rPr>
          <w:bCs/>
          <w:i/>
          <w:lang w:val="de-CH"/>
        </w:rPr>
        <w:t>*****</w:t>
      </w:r>
    </w:p>
    <w:p w14:paraId="149964A2" w14:textId="4EE28858"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Raccogliamo, trattiamo e utilizziamo i vostri dati personali in conformità con il contenuto delle presenti disposizioni sulla protezione dei dati e con le normative vigenti in materia di protezione dei dati, in particolare con la legge svizzera sulla protezione dei dati (LPD).</w:t>
      </w:r>
    </w:p>
    <w:p w14:paraId="7DD06833" w14:textId="31C08AA2"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Ai fini delle presenti disposizioni sulla protezione dei dati, per dati personali si intende qualsiasi informazione relativa a una persona fisica identificata o identificabile. Trattiamo i dati personali che riceviamo da voi o da terzi coinvolti nell’ambito del rapporto contrattuale o che raccogliamo noi stessi. Il responsabile del trattamento dei dati personali in base alla presente dichiarazione sulla protezione dei dati è (nome/società, indirizzo, eventualmente e-mail).</w:t>
      </w:r>
    </w:p>
    <w:p w14:paraId="3DD7A5C9" w14:textId="19FE3AB0"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Da un lato, riceviamo i dati personali da voi o dagli stessi interessati quando voi o loro ci contattate per e-mail o per telefono e richiedete i nostri servizi. Ciò include, ad esempio, il nome e i dati di contatto.</w:t>
      </w:r>
    </w:p>
    <w:p w14:paraId="39EF00C2" w14:textId="1F263981"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Dall’altro alto, trattiamo i dati personali che riceviamo nella nostra corrispondenza con terzi (specialmente fornitori, altre aziende, ecc.) nell’ambito del rapporto contrattuale (ad esempio, nome, dati di contatto). Anche noi stessi raccogliamo alcuni dati personali in prima persona, ad esempio sui siti web.</w:t>
      </w:r>
    </w:p>
    <w:p w14:paraId="1F1A3298" w14:textId="3DB211C9"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Trattiamo tali dati personali principalmente per poter fornire, documentare e fatturare le nostre prestazioni contrattuali.</w:t>
      </w:r>
    </w:p>
    <w:p w14:paraId="504AFCAA" w14:textId="5FA2E04A"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(Inoltre, trattiamo i dati di contatto per scopi di marketing (utilizzando qualsiasi mezzo di comunicazione come e-mail, social media, posta o telefono) per fornire informazioni su pubblicazioni, eventi, novità, servizi o prodotti che potrebbero essere di interesse).</w:t>
      </w:r>
    </w:p>
    <w:p w14:paraId="15A6873A" w14:textId="201714B4"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Per raggiungere le finalità sopra indicate, potrebbe essere necessario trasmettere i dati personali alle seguenti categorie di destinatari: fornitori, partner commerciali con i quali potremmo dover coordinare i servizi previsti dall’appalto, altre società coinvolte nell’appalto, nonché autorità e tribunali.</w:t>
      </w:r>
    </w:p>
    <w:p w14:paraId="406F5533" w14:textId="77777777" w:rsid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Conserviamo i dati personali solo per il tempo necessario all’esecuzione del rapporto contrattuale, per il tempo in cui sussiste l’obbligo legale di conservare e documentare i dati o per il tempo in cui abbiamo un interesse prevalente, pubblico o privato, a farlo. Nel fare ciò, prendiamo precauzioni proporzionate e ragionevoli per proteggere</w:t>
      </w:r>
      <w:r>
        <w:rPr>
          <w:rFonts w:eastAsiaTheme="minorHAnsi"/>
          <w:bCs/>
          <w:iCs/>
          <w:lang w:val="it-CH" w:eastAsia="en-US"/>
        </w:rPr>
        <w:t xml:space="preserve"> </w:t>
      </w:r>
      <w:r w:rsidRPr="00B054A4">
        <w:rPr>
          <w:rFonts w:eastAsiaTheme="minorHAnsi"/>
          <w:bCs/>
          <w:iCs/>
          <w:lang w:val="it-CH" w:eastAsia="en-US"/>
        </w:rPr>
        <w:t>i dati personali contro la perdita, la modifica non autorizzata o l’accesso non autorizzato da parte di terzi.</w:t>
      </w:r>
    </w:p>
    <w:p w14:paraId="7199F81B" w14:textId="64E1519F"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 xml:space="preserve">Nel trattamento dei dati, teniamo conto dei principi di legalità, proporzionalità, limitazione delle finalità, accuratezza, trasparenza, in particolare l’adempimento degli obblighi di informazione, e di sicurezza dei dati. Si prega di notare che, nell’ambito del rapporto contrattuale, utilizziamo fornitori di servizi IT e cloud provider esterni con server in Svizzera. Utilizziamo poi alcuni servizi informatici e mezzi di comunicazione </w:t>
      </w:r>
      <w:r w:rsidRPr="00B054A4">
        <w:rPr>
          <w:rFonts w:eastAsiaTheme="minorHAnsi"/>
          <w:bCs/>
          <w:iCs/>
          <w:lang w:val="it-CH" w:eastAsia="en-US"/>
        </w:rPr>
        <w:lastRenderedPageBreak/>
        <w:t>che possono essere associati a rischi per la sicurezza dei dati (ad esempio, e-mail, videoconferenze). Spetta a voi informarci qualora desideriate delle misure di sicurezza speciali.</w:t>
      </w:r>
    </w:p>
    <w:p w14:paraId="5A116627" w14:textId="7149FC1B"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Avete il diritto di richiedere informazioni sui vostri dati personali da noi trattati. In particolare, potete richiedere informazioni sui dati personali in quanto tali, sulle finalità del trattamento, sul periodo di conservazione o, se non è possibile, sui criteri per determinare tale periodo, sull’origine dei vostri dati se non sono stati raccolti presso di voi, sull’eventuale esistenza di una decisione individuale automatizzata e, se del caso, sui destinatari o sulle categorie di destinatari a cui vengono comunicati i dati personali. L’utente ha inoltre il diritto di revocare in qualsiasi momento il consenso eventualmente concesso per l’utilizzo dei propri dati personali. L’utente può esercitare i diritti di cui sopra in qualsiasi momento contattandoci all’indirizzo di contatto indicato. Se ritenete che il trattamento dei vostri dati personali da parte nostra sia contrario alle norme vigenti in materia di protezione dei dati, avete la possibilità di presentare un reclamo all’Incaricato federale della protezione dei dati e della trasparenza.</w:t>
      </w:r>
    </w:p>
    <w:p w14:paraId="6537507C" w14:textId="19EF5033"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Ci riserviamo il diritto di modificare la presente dichiarazione sulla protezione dei dati in qualsiasi momento con effetto per il futuro. Una specifica versione aggiornata è disponibile sul sito web. Vi invitiamo a visitare regolarmente il sito web e a informarvi sulle norme vigenti in materia di protezione dei dati.</w:t>
      </w:r>
    </w:p>
    <w:p w14:paraId="5F848653" w14:textId="15697656" w:rsidR="00B054A4" w:rsidRPr="00B054A4" w:rsidRDefault="00B054A4" w:rsidP="00B054A4">
      <w:pPr>
        <w:numPr>
          <w:ilvl w:val="1"/>
          <w:numId w:val="4"/>
        </w:numPr>
        <w:tabs>
          <w:tab w:val="left" w:pos="1418"/>
        </w:tabs>
        <w:spacing w:before="120" w:after="240" w:line="240" w:lineRule="atLeast"/>
        <w:ind w:left="284" w:right="426"/>
        <w:jc w:val="both"/>
        <w:rPr>
          <w:rFonts w:eastAsiaTheme="minorHAnsi"/>
          <w:bCs/>
          <w:iCs/>
          <w:lang w:val="it-CH" w:eastAsia="en-US"/>
        </w:rPr>
      </w:pPr>
      <w:r w:rsidRPr="00B054A4">
        <w:rPr>
          <w:rFonts w:eastAsiaTheme="minorHAnsi"/>
          <w:bCs/>
          <w:iCs/>
          <w:lang w:val="it-CH" w:eastAsia="en-US"/>
        </w:rPr>
        <w:t>Potete far valere i vostri diritti di protezione dei dati in qualsiasi momento contattandoci all’indirizzo di contatto specificato (indirizzo e-mail / nome/società, indirizzo). Allo stesso modo, se avete domande sulla nostra politica sulla protezione dei dati, potete contattarci all’indirizzo di contatto fornito</w:t>
      </w:r>
      <w:r>
        <w:rPr>
          <w:rFonts w:eastAsiaTheme="minorHAnsi"/>
          <w:bCs/>
          <w:iCs/>
          <w:lang w:val="it-CH" w:eastAsia="en-US"/>
        </w:rPr>
        <w:t>.</w:t>
      </w:r>
    </w:p>
    <w:p w14:paraId="7A21F6A4" w14:textId="77777777" w:rsidR="00B054A4" w:rsidRPr="00B054A4" w:rsidRDefault="00B054A4" w:rsidP="00B054A4">
      <w:pPr>
        <w:tabs>
          <w:tab w:val="left" w:pos="1418"/>
        </w:tabs>
        <w:spacing w:before="120" w:after="240" w:line="240" w:lineRule="atLeast"/>
        <w:ind w:left="284" w:right="426"/>
        <w:jc w:val="both"/>
        <w:rPr>
          <w:rFonts w:eastAsiaTheme="minorHAnsi"/>
          <w:bCs/>
          <w:iCs/>
          <w:lang w:val="it-CH" w:eastAsia="en-US"/>
        </w:rPr>
      </w:pPr>
    </w:p>
    <w:p w14:paraId="03FFDF47" w14:textId="77777777" w:rsidR="00B054A4" w:rsidRPr="00B054A4" w:rsidRDefault="00B054A4" w:rsidP="00B054A4">
      <w:pPr>
        <w:tabs>
          <w:tab w:val="left" w:pos="1418"/>
        </w:tabs>
        <w:spacing w:before="120" w:after="240" w:line="240" w:lineRule="atLeast"/>
        <w:ind w:left="284" w:right="426"/>
        <w:jc w:val="both"/>
        <w:rPr>
          <w:rFonts w:eastAsiaTheme="minorHAnsi"/>
          <w:b/>
          <w:bCs/>
          <w:iCs/>
          <w:lang w:val="it-CH" w:eastAsia="en-US"/>
        </w:rPr>
      </w:pPr>
      <w:r w:rsidRPr="00B054A4">
        <w:rPr>
          <w:rFonts w:eastAsiaTheme="minorHAnsi"/>
          <w:b/>
          <w:bCs/>
          <w:iCs/>
          <w:lang w:val="it-CH" w:eastAsia="en-US"/>
        </w:rPr>
        <w:t>Situazione: (Data)</w:t>
      </w:r>
    </w:p>
    <w:p w14:paraId="49372AA0" w14:textId="77777777" w:rsidR="0012533D" w:rsidRPr="0012533D" w:rsidRDefault="0012533D">
      <w:pPr>
        <w:tabs>
          <w:tab w:val="left" w:pos="1418"/>
        </w:tabs>
        <w:spacing w:before="120" w:after="240" w:line="240" w:lineRule="atLeast"/>
        <w:ind w:right="426"/>
        <w:jc w:val="both"/>
        <w:rPr>
          <w:iCs/>
          <w:lang w:val="de-CH"/>
        </w:rPr>
      </w:pPr>
    </w:p>
    <w:sectPr w:rsidR="0012533D" w:rsidRPr="0012533D"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AB8F" w14:textId="77777777" w:rsidR="00B07855" w:rsidRDefault="00B07855">
      <w:r>
        <w:separator/>
      </w:r>
    </w:p>
  </w:endnote>
  <w:endnote w:type="continuationSeparator" w:id="0">
    <w:p w14:paraId="4AA91FE2" w14:textId="77777777" w:rsidR="00B07855" w:rsidRDefault="00B0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574A" w14:textId="77777777" w:rsidR="00B07855" w:rsidRDefault="00B07855">
      <w:r>
        <w:separator/>
      </w:r>
    </w:p>
  </w:footnote>
  <w:footnote w:type="continuationSeparator" w:id="0">
    <w:p w14:paraId="048695C8" w14:textId="77777777" w:rsidR="00B07855" w:rsidRDefault="00B0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C41ACD4">
          <wp:simplePos x="0" y="0"/>
          <wp:positionH relativeFrom="page">
            <wp:posOffset>0</wp:posOffset>
          </wp:positionH>
          <wp:positionV relativeFrom="page">
            <wp:posOffset>0</wp:posOffset>
          </wp:positionV>
          <wp:extent cx="7569588"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8"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6A"/>
    <w:multiLevelType w:val="hybridMultilevel"/>
    <w:tmpl w:val="710C5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F73FE"/>
    <w:multiLevelType w:val="hybridMultilevel"/>
    <w:tmpl w:val="4CD02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0A351C"/>
    <w:multiLevelType w:val="hybridMultilevel"/>
    <w:tmpl w:val="7B82CC54"/>
    <w:lvl w:ilvl="0" w:tplc="4A38C02E">
      <w:numFmt w:val="bullet"/>
      <w:lvlText w:val="-"/>
      <w:lvlJc w:val="left"/>
      <w:pPr>
        <w:ind w:left="1223" w:hanging="135"/>
      </w:pPr>
      <w:rPr>
        <w:rFonts w:ascii="Arial" w:eastAsia="Arial" w:hAnsi="Arial" w:cs="Arial" w:hint="default"/>
        <w:w w:val="100"/>
        <w:sz w:val="22"/>
        <w:szCs w:val="22"/>
        <w:lang w:val="de-CH" w:eastAsia="de-CH" w:bidi="de-CH"/>
      </w:rPr>
    </w:lvl>
    <w:lvl w:ilvl="1" w:tplc="25F6CAE2">
      <w:start w:val="1"/>
      <w:numFmt w:val="decimal"/>
      <w:lvlText w:val="%2."/>
      <w:lvlJc w:val="left"/>
      <w:pPr>
        <w:ind w:left="1809" w:hanging="360"/>
      </w:pPr>
      <w:rPr>
        <w:rFonts w:ascii="Arial" w:eastAsia="Arial" w:hAnsi="Arial" w:cs="Arial" w:hint="default"/>
        <w:spacing w:val="-1"/>
        <w:w w:val="100"/>
        <w:sz w:val="22"/>
        <w:szCs w:val="22"/>
        <w:lang w:val="de-CH" w:eastAsia="de-CH" w:bidi="de-CH"/>
      </w:rPr>
    </w:lvl>
    <w:lvl w:ilvl="2" w:tplc="D0B67068">
      <w:numFmt w:val="bullet"/>
      <w:lvlText w:val="•"/>
      <w:lvlJc w:val="left"/>
      <w:pPr>
        <w:ind w:left="2836" w:hanging="360"/>
      </w:pPr>
      <w:rPr>
        <w:rFonts w:hint="default"/>
        <w:lang w:val="de-CH" w:eastAsia="de-CH" w:bidi="de-CH"/>
      </w:rPr>
    </w:lvl>
    <w:lvl w:ilvl="3" w:tplc="C502949E">
      <w:numFmt w:val="bullet"/>
      <w:lvlText w:val="•"/>
      <w:lvlJc w:val="left"/>
      <w:pPr>
        <w:ind w:left="3872" w:hanging="360"/>
      </w:pPr>
      <w:rPr>
        <w:rFonts w:hint="default"/>
        <w:lang w:val="de-CH" w:eastAsia="de-CH" w:bidi="de-CH"/>
      </w:rPr>
    </w:lvl>
    <w:lvl w:ilvl="4" w:tplc="12DCF49E">
      <w:numFmt w:val="bullet"/>
      <w:lvlText w:val="•"/>
      <w:lvlJc w:val="left"/>
      <w:pPr>
        <w:ind w:left="4908" w:hanging="360"/>
      </w:pPr>
      <w:rPr>
        <w:rFonts w:hint="default"/>
        <w:lang w:val="de-CH" w:eastAsia="de-CH" w:bidi="de-CH"/>
      </w:rPr>
    </w:lvl>
    <w:lvl w:ilvl="5" w:tplc="F0C0B5F8">
      <w:numFmt w:val="bullet"/>
      <w:lvlText w:val="•"/>
      <w:lvlJc w:val="left"/>
      <w:pPr>
        <w:ind w:left="5945" w:hanging="360"/>
      </w:pPr>
      <w:rPr>
        <w:rFonts w:hint="default"/>
        <w:lang w:val="de-CH" w:eastAsia="de-CH" w:bidi="de-CH"/>
      </w:rPr>
    </w:lvl>
    <w:lvl w:ilvl="6" w:tplc="8C60DB12">
      <w:numFmt w:val="bullet"/>
      <w:lvlText w:val="•"/>
      <w:lvlJc w:val="left"/>
      <w:pPr>
        <w:ind w:left="6981" w:hanging="360"/>
      </w:pPr>
      <w:rPr>
        <w:rFonts w:hint="default"/>
        <w:lang w:val="de-CH" w:eastAsia="de-CH" w:bidi="de-CH"/>
      </w:rPr>
    </w:lvl>
    <w:lvl w:ilvl="7" w:tplc="BBA4FDD2">
      <w:numFmt w:val="bullet"/>
      <w:lvlText w:val="•"/>
      <w:lvlJc w:val="left"/>
      <w:pPr>
        <w:ind w:left="8017" w:hanging="360"/>
      </w:pPr>
      <w:rPr>
        <w:rFonts w:hint="default"/>
        <w:lang w:val="de-CH" w:eastAsia="de-CH" w:bidi="de-CH"/>
      </w:rPr>
    </w:lvl>
    <w:lvl w:ilvl="8" w:tplc="F6DCE4C0">
      <w:numFmt w:val="bullet"/>
      <w:lvlText w:val="•"/>
      <w:lvlJc w:val="left"/>
      <w:pPr>
        <w:ind w:left="9053" w:hanging="360"/>
      </w:pPr>
      <w:rPr>
        <w:rFonts w:hint="default"/>
        <w:lang w:val="de-CH" w:eastAsia="de-CH" w:bidi="de-CH"/>
      </w:rPr>
    </w:lvl>
  </w:abstractNum>
  <w:num w:numId="1" w16cid:durableId="15008659">
    <w:abstractNumId w:val="2"/>
  </w:num>
  <w:num w:numId="2" w16cid:durableId="1424184425">
    <w:abstractNumId w:val="0"/>
  </w:num>
  <w:num w:numId="3" w16cid:durableId="143472617">
    <w:abstractNumId w:val="1"/>
  </w:num>
  <w:num w:numId="4" w16cid:durableId="2135829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136C4"/>
    <w:rsid w:val="00062533"/>
    <w:rsid w:val="000B13ED"/>
    <w:rsid w:val="000E6E07"/>
    <w:rsid w:val="00112F2E"/>
    <w:rsid w:val="0012533D"/>
    <w:rsid w:val="001A60C4"/>
    <w:rsid w:val="001B5F30"/>
    <w:rsid w:val="001C67F1"/>
    <w:rsid w:val="001E3DBF"/>
    <w:rsid w:val="002222AD"/>
    <w:rsid w:val="00320D09"/>
    <w:rsid w:val="0032520F"/>
    <w:rsid w:val="003327C4"/>
    <w:rsid w:val="00334A5B"/>
    <w:rsid w:val="0034240A"/>
    <w:rsid w:val="003C3D2D"/>
    <w:rsid w:val="00416B61"/>
    <w:rsid w:val="004326DD"/>
    <w:rsid w:val="00464663"/>
    <w:rsid w:val="004A64EA"/>
    <w:rsid w:val="004F2B89"/>
    <w:rsid w:val="005560F6"/>
    <w:rsid w:val="00666099"/>
    <w:rsid w:val="00670981"/>
    <w:rsid w:val="006A24AD"/>
    <w:rsid w:val="007445F5"/>
    <w:rsid w:val="007472B7"/>
    <w:rsid w:val="007905D6"/>
    <w:rsid w:val="007F5C6F"/>
    <w:rsid w:val="00800C7F"/>
    <w:rsid w:val="00857A3B"/>
    <w:rsid w:val="00880E2B"/>
    <w:rsid w:val="008D4C36"/>
    <w:rsid w:val="009030C0"/>
    <w:rsid w:val="00910BFB"/>
    <w:rsid w:val="009555FD"/>
    <w:rsid w:val="009D2C96"/>
    <w:rsid w:val="00AB5984"/>
    <w:rsid w:val="00B054A4"/>
    <w:rsid w:val="00B07855"/>
    <w:rsid w:val="00B3470C"/>
    <w:rsid w:val="00BE3C10"/>
    <w:rsid w:val="00BE7133"/>
    <w:rsid w:val="00C034EB"/>
    <w:rsid w:val="00C05455"/>
    <w:rsid w:val="00C354B8"/>
    <w:rsid w:val="00C97FC1"/>
    <w:rsid w:val="00CC343E"/>
    <w:rsid w:val="00D4742F"/>
    <w:rsid w:val="00DC22F5"/>
    <w:rsid w:val="00E12658"/>
    <w:rsid w:val="00E4134C"/>
    <w:rsid w:val="00EE1F42"/>
    <w:rsid w:val="00F325F9"/>
    <w:rsid w:val="00F55606"/>
    <w:rsid w:val="00F82659"/>
    <w:rsid w:val="00F87771"/>
    <w:rsid w:val="00FA23B5"/>
    <w:rsid w:val="00FB0481"/>
    <w:rsid w:val="00FB636F"/>
    <w:rsid w:val="00FC0D24"/>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2</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5145</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10</cp:revision>
  <cp:lastPrinted>2019-10-21T12:41:00Z</cp:lastPrinted>
  <dcterms:created xsi:type="dcterms:W3CDTF">2023-09-20T11:02:00Z</dcterms:created>
  <dcterms:modified xsi:type="dcterms:W3CDTF">2023-09-20T13:58:00Z</dcterms:modified>
</cp:coreProperties>
</file>